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wmf" ContentType="image/x-wm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/>
      </w:pPr>
      <w:r>
        <w:rPr/>
        <w:drawing>
          <wp:inline distT="0" distB="0" distL="0" distR="0">
            <wp:extent cx="6047105" cy="685800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0" t="-185" r="-20" b="-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BodyText"/>
        <w:jc w:val="right"/>
        <w:rPr/>
      </w:pPr>
      <w:r>
        <w:rPr/>
      </w:r>
    </w:p>
    <w:p>
      <w:pPr>
        <w:pStyle w:val="BodyText"/>
        <w:jc w:val="right"/>
        <w:rPr/>
      </w:pPr>
      <w:r>
        <w:rPr/>
        <w:t>Załącznik nr 1a do SWZ</w:t>
      </w:r>
    </w:p>
    <w:p>
      <w:pPr>
        <w:pStyle w:val="BodyText"/>
        <w:jc w:val="left"/>
        <w:rPr/>
      </w:pPr>
      <w:r>
        <w:rPr/>
        <w:t>ZP.271.2.2026</w:t>
      </w:r>
    </w:p>
    <w:p>
      <w:pPr>
        <w:pStyle w:val="BodyText"/>
        <w:jc w:val="left"/>
        <w:rPr/>
      </w:pPr>
      <w:r>
        <w:rPr/>
      </w:r>
    </w:p>
    <w:p>
      <w:pPr>
        <w:pStyle w:val="BodyTex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Szczegółowy opis przedmiotu zamówienia: </w:t>
      </w:r>
      <w:r>
        <w:rPr>
          <w:b/>
          <w:sz w:val="24"/>
          <w:szCs w:val="24"/>
        </w:rPr>
        <w:t>Wsparcie podstawowej opieki zdrowotnej (POZ) część 3 zamówienia: dostawa sprzętu medycznego dla Gminnego Centrum Zdrowia w Nowej Męcince</w:t>
      </w:r>
    </w:p>
    <w:p>
      <w:pPr>
        <w:pStyle w:val="BodyTex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BodyText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Przedmiot zamówienia obejmuje dostawę sprzętu medycznego:</w:t>
      </w:r>
    </w:p>
    <w:p>
      <w:pPr>
        <w:pStyle w:val="Normal"/>
        <w:widowControl/>
        <w:numPr>
          <w:ilvl w:val="0"/>
          <w:numId w:val="1"/>
        </w:numPr>
        <w:tabs>
          <w:tab w:val="clear" w:pos="708"/>
          <w:tab w:val="left" w:pos="229" w:leader="none"/>
        </w:tabs>
        <w:suppressAutoHyphens w:val="true"/>
        <w:bidi w:val="0"/>
        <w:spacing w:lineRule="auto" w:line="276" w:before="0" w:after="0"/>
        <w:ind w:hanging="0" w:left="0" w:right="0"/>
        <w:contextualSpacing/>
        <w:jc w:val="both"/>
        <w:rPr>
          <w:b/>
          <w:bCs/>
        </w:rPr>
      </w:pPr>
      <w:r>
        <w:rPr>
          <w:b/>
          <w:bCs/>
          <w:color w:val="000000"/>
          <w:sz w:val="24"/>
          <w:szCs w:val="24"/>
          <w:lang w:bidi="pl-PL"/>
        </w:rPr>
        <w:t>mobilny aparat USG – 1 sztuka, o parametrach: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0" w:right="0"/>
        <w:contextualSpacing/>
        <w:jc w:val="both"/>
        <w:rPr>
          <w:b/>
          <w:bCs/>
        </w:rPr>
      </w:pPr>
      <w:r>
        <w:rPr>
          <w:b/>
          <w:bCs/>
          <w:sz w:val="24"/>
          <w:szCs w:val="24"/>
        </w:rPr>
        <w:t xml:space="preserve">   – </w:t>
      </w:r>
      <w:r>
        <w:rPr>
          <w:b/>
          <w:bCs/>
          <w:sz w:val="24"/>
          <w:szCs w:val="24"/>
        </w:rPr>
        <w:t>aparat fabrycznie nowy, rok produkcji nie wcześniejszy niż 2025</w:t>
      </w:r>
    </w:p>
    <w:tbl>
      <w:tblPr>
        <w:tblW w:w="9588" w:type="dxa"/>
        <w:jc w:val="left"/>
        <w:tblInd w:w="-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6"/>
        <w:gridCol w:w="6507"/>
        <w:gridCol w:w="3065"/>
      </w:tblGrid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99" w:val="clear"/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113" w:right="0"/>
              <w:jc w:val="left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Ultrasonograf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99" w:val="clear"/>
            <w:vAlign w:val="center"/>
          </w:tcPr>
          <w:p>
            <w:pPr>
              <w:pStyle w:val="Normal"/>
              <w:rPr>
                <w:b/>
                <w:bCs/>
                <w:sz w:val="18"/>
                <w:szCs w:val="18"/>
                <w:lang w:eastAsia="pl-PL"/>
              </w:rPr>
            </w:pPr>
            <w:r>
              <w:rPr>
                <w:b/>
                <w:bCs/>
                <w:sz w:val="18"/>
                <w:szCs w:val="18"/>
                <w:lang w:eastAsia="pl-PL"/>
              </w:rPr>
              <w:t>Wartości wymagane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Przenośny aparat USG w formie laptopa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Dedykowany wózek do aparatu USG z regulacją wysokości o czterech skrętnych kołach, z możliwością ich blokowania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Zasilanie sieciowe zgodnie z PN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Zasilanie akumulatorowe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Ilość niezależnych portów do podłączenia głowic obrazowych, zainstalowane bezpośrednio w ultrasonografie lub na wózku. Przełączanie głowic z klawiatury aparatu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3 porty, podać</w:t>
            </w:r>
          </w:p>
        </w:tc>
      </w:tr>
      <w:tr>
        <w:trPr>
          <w:trHeight w:val="484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Monitor wysokiej rozdzielczości.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minimalna rozdzielczość 1920x1080 pikseli,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Przekątna monitora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15,5 cali,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Klawiatura alfanumeryczna do wprowadzenia danych pacjenta z fizycznymi klawiszami zabezpieczona folią chroniącą przed zachlapaniem (wyklucza się aparaty z wirtualną klawiaturą na ekranie dotykowym)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Zasięgowa regulacja wzmocnienia (minimum 8 punktowa) w formie fizycznych suwaków (wyklucza się aparaty z wirtualnymi suwakami na ekranie)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</w:t>
            </w:r>
          </w:p>
        </w:tc>
      </w:tr>
      <w:tr>
        <w:trPr>
          <w:trHeight w:val="222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Dynamika systemu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265 dB, podać</w:t>
            </w:r>
          </w:p>
        </w:tc>
      </w:tr>
      <w:tr>
        <w:trPr>
          <w:trHeight w:val="284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regulacji przez użytkownika dynamiki obrazu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w zakresie min. od 40 do 90 dB,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Minimalny zakres częstotliwości głowic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2,0-18,0 MHz,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Maksymalna głębokość obrazowania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≥</w:t>
            </w:r>
            <w:r>
              <w:rPr>
                <w:sz w:val="18"/>
                <w:szCs w:val="18"/>
                <w:lang w:eastAsia="pl-PL"/>
              </w:rPr>
              <w:t xml:space="preserve"> </w:t>
            </w:r>
            <w:r>
              <w:rPr>
                <w:sz w:val="18"/>
                <w:szCs w:val="18"/>
                <w:lang w:eastAsia="pl-PL"/>
              </w:rPr>
              <w:t>32 cm,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Częstotliwość odświeżania obrazu (frame rate) w obrazowaniu 2D (B)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sz w:val="18"/>
                <w:szCs w:val="18"/>
                <w:lang w:eastAsia="pl-PL"/>
              </w:rPr>
              <w:t>≥</w:t>
            </w:r>
            <w:r>
              <w:rPr>
                <w:sz w:val="18"/>
                <w:szCs w:val="18"/>
                <w:lang w:eastAsia="pl-PL"/>
              </w:rPr>
              <w:t>1700 obrazów na sekundę, podać</w:t>
            </w:r>
          </w:p>
        </w:tc>
      </w:tr>
      <w:tr>
        <w:trPr>
          <w:trHeight w:val="343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Pamięć Cine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5000 obrazów, podać</w:t>
            </w:r>
          </w:p>
        </w:tc>
      </w:tr>
      <w:tr>
        <w:trPr>
          <w:trHeight w:val="207" w:hRule="atLeast"/>
        </w:trPr>
        <w:tc>
          <w:tcPr>
            <w:tcW w:w="16" w:type="dxa"/>
            <w:tcBorders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ARCHIWIZACJA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Archiwizacja raportów z badań, obrazów i pętli obrazowych na wewnętrznym dysku SSD o pojemności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250 GB, podać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zapisu obrazów i pętli obrazowych na zewnętrznych nośnikach typu PenDrive w formatach jpeg, avi.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Videoprinter czarno-biały (zainstalowany na wózku do aparatu), sterowany z klawiatury USG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jednoczesnego zapisu obrazu na wewnętrznym dysku HDD oraz wydruku obrazu na printerze. Obie akcje dostępne po naciśnięciu  jednego przycisku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TRYBY OBRAZOWANIA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2D (B-mode)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technice 2 harmonicznej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44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Automatyczna optymalizacja obrazu 2D za pomocą jednego przycisku w zależności od treści obrazu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03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color w:themeColor="text1" w:val="000000"/>
                <w:sz w:val="18"/>
                <w:szCs w:val="18"/>
              </w:rPr>
              <w:t>Adaptacyjne przetwarzanie obrazu redukujące artefakty i szumy bez utraty rozdzielczości, np. SRI, Xres, DTCA lub równoważny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2D+M,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M-mode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32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Doppler spektralny z falą pulsacyjną (pw-D)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83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Maksymalna prędkość bez aliasingu, przy zerowym kącie korekcji &gt; 7,0 m/s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Zakres regulacji korekcji kąta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od 0° do 89°,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Regulacja wielkości bramki w zakresie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1 – 16 mm, podać</w:t>
            </w:r>
          </w:p>
        </w:tc>
      </w:tr>
      <w:tr>
        <w:trPr>
          <w:trHeight w:val="287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Automatyczna regulacja położenia linii bazowej i skali prędkości, przy użyciu jednego przycisku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regulacji położenia linii bazowej i korekcji kąta na zatrzymanym obrazie i na obrazach z archiwum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Kolor doppler (minimum 15 map kolorów)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Regulacja uchylności pola dopplera kolorowego (w głowicach liniowych)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±20 stopni,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wyłączenia bramki kolorowego dopplera na  obrazach z archiwum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Power 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Kierunkowy Power 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Doppler spektralny z falą ciągłą (cw-D)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Zakres regulacji korekcji kąta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od 0° do 89°,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Kolorowy doppler tkankowy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GŁOWICE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</w:tr>
      <w:tr>
        <w:trPr>
          <w:trHeight w:val="116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Głowica liniowa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 typ</w:t>
            </w:r>
          </w:p>
        </w:tc>
      </w:tr>
      <w:tr>
        <w:trPr>
          <w:trHeight w:val="213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Zakres częstotliwości obrazowania obejmujący przedział 5,0 – 12,0 MHz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</w:t>
            </w:r>
          </w:p>
        </w:tc>
      </w:tr>
      <w:tr>
        <w:trPr>
          <w:trHeight w:val="509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harmoniczne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b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3 pary częstotliwości harmonicznych,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trapezowe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rombowe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kąt ugięcia wiązki min. ±15°,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kolor doppler i power 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pw-doppler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29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triplex (2D/kolor doppler/pw-doppler) w czasie rzeczywistym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513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wielokierunkowe (compounding) – wysyłanie przez te same kryształy głowicy kilku wiązek ultradźwiękowych pod różnymi kątami (np. SonoCT)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minimalnie 8 kątów, podać</w:t>
            </w:r>
          </w:p>
        </w:tc>
      </w:tr>
      <w:tr>
        <w:trPr>
          <w:trHeight w:val="229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Ilość kryształów w głowicy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192, podać</w:t>
            </w:r>
          </w:p>
        </w:tc>
      </w:tr>
      <w:tr>
        <w:trPr>
          <w:trHeight w:val="283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Głowica konweksowa do badań brzusznych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 typ</w:t>
            </w:r>
          </w:p>
        </w:tc>
      </w:tr>
      <w:tr>
        <w:trPr>
          <w:trHeight w:val="338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Zakres częstotliwości obrazowania obejmujący przedział 2,5 – 5,0 MHz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</w:t>
            </w:r>
          </w:p>
        </w:tc>
      </w:tr>
      <w:tr>
        <w:trPr>
          <w:trHeight w:val="284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harmoniczne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 3 pary częstotliwości harmonicznych,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kolor 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pw-doppler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587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triplex (2D/kolor doppler/pw-doppler) w czasie rzeczywistym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78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wielokierunkowe ( compounding) – wysyłanie przez te same kryształy głowicy minimum 8 wiązek ultradźwiękowych pod różnymi kątami (np. SonoCT)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</w:t>
            </w:r>
          </w:p>
        </w:tc>
      </w:tr>
      <w:tr>
        <w:trPr>
          <w:trHeight w:val="5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Ilość kryształów w głowicy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128, podać</w:t>
            </w:r>
          </w:p>
        </w:tc>
      </w:tr>
      <w:tr>
        <w:trPr>
          <w:trHeight w:val="5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Głowica sektorowa do badań pacjentów kardiologicznych</w:t>
            </w:r>
            <w:bookmarkStart w:id="0" w:name="_GoBack"/>
            <w:bookmarkEnd w:id="0"/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 typ</w:t>
            </w:r>
          </w:p>
        </w:tc>
      </w:tr>
      <w:tr>
        <w:trPr>
          <w:trHeight w:val="5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Zakres częstotliwości obrazowania obejmującym przedział 2,5 – 4,0 MHz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podać</w:t>
            </w:r>
          </w:p>
        </w:tc>
      </w:tr>
      <w:tr>
        <w:trPr>
          <w:trHeight w:val="51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harmoniczne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 4 pary częstotliwości harmonicznych,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kolor 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pw-doppler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cw-doppler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Obrazowanie w trybie dopplera tkankowego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5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Kąt pola obrazu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min. 115°, podać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OPROGRAMOWANIE POMIAROWE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 badań abdominalnych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 badań płytko położonych narządów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 badań kardiologicznych, w tym metodą PISA (minimum promień i ERO)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 badań pediatrycznych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 badań położniczo-ginekologicznych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Do badań naczyniowych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Podstawowe pomiary fizyczne: odległości, pola powierzchni, objętości, kątów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Automatyczny obrys spektrum dopplerowskiego w czasie rzeczywistym i na obrazach zatrzymanych z wyznaczeniem parametrów ED, PS, PI, RI, PS/ED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6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b/>
                <w:sz w:val="18"/>
                <w:szCs w:val="18"/>
                <w:lang w:eastAsia="pl-PL"/>
              </w:rPr>
              <w:t>MOŻLIWOŚCI ROZBUDOWY APARATU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rozbudowy o głowicę mikroconvex o zakresie częstotliwości pracy obejmującym przedział 5-9 MHz, 3 parach częstotliwości harmonicznych, promieniu krzywizny z zakresu 9-13 mm i kącie pola obrazowania</w:t>
              <w:br/>
              <w:t xml:space="preserve"> &gt; 130°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rozbudowy o głowicę kardiologiczna noworodkową o częstotliwościach pracy obejmujących przedział 6-12 MHz, minimum 92 kryształach i kącie pola obrazowania min. 115 stopni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71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rozbudowy o głowicę liniową typu kij hokejowy o zakresie częstotliwości obejmującej przedział 9-18 MHz i szerokości z zakresu 24-27 mm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rozbudowy o oprogramowanie do automatycznego wyznaczania frakcji wyrzutowej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rozbudowy o obrazowanie elastograficzne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rozbudowy o automatyczny pomiar IMT z zaznaczonego przez użytkownika obszaru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Możliwość rozbudowy o obrazowanie panoramiczne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Możliwość rozbudowy o obrazowanie wolnych przepływów bez wykorzystania zjawiska dopplera, oparte na śledzeniu „plamek” (speckle tracking)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</w:t>
            </w:r>
          </w:p>
        </w:tc>
      </w:tr>
      <w:tr>
        <w:trPr>
          <w:trHeight w:val="480" w:hRule="atLeast"/>
        </w:trPr>
        <w:tc>
          <w:tcPr>
            <w:tcW w:w="6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POZOSTAŁE WYMAGANIA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</w:r>
          </w:p>
        </w:tc>
      </w:tr>
      <w:tr>
        <w:trPr>
          <w:trHeight w:val="216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Okres gwarancji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minimum 24-miesiące, podać</w:t>
            </w:r>
          </w:p>
        </w:tc>
      </w:tr>
      <w:tr>
        <w:trPr>
          <w:trHeight w:val="480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</w:r>
          </w:p>
        </w:tc>
        <w:tc>
          <w:tcPr>
            <w:tcW w:w="65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Autoryzacja producenta na serwisowanie oferowanej aparatury lub umowa z autoryzowanym serwisem w Polsce</w:t>
            </w:r>
          </w:p>
        </w:tc>
        <w:tc>
          <w:tcPr>
            <w:tcW w:w="3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TAK, załączyć</w:t>
            </w:r>
          </w:p>
        </w:tc>
      </w:tr>
      <w:tr>
        <w:trPr>
          <w:trHeight w:val="255" w:hRule="atLeast"/>
        </w:trPr>
        <w:tc>
          <w:tcPr>
            <w:tcW w:w="16" w:type="dxa"/>
            <w:tcBorders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650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</w:r>
          </w:p>
        </w:tc>
        <w:tc>
          <w:tcPr>
            <w:tcW w:w="3065" w:type="dxa"/>
            <w:tcBorders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cs="Arial" w:ascii="Arial" w:hAnsi="Arial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  <w:t>2) analizator diagnostyczny – 1 sztuka, o parametrach: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51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analizator fabrycznie nowy, bez wad i uszkodzeń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51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dotykowy ekran, wbudowana drukarka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WŁAŚCIWOŚCI: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Maksymalna czułość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Autokalibracja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Szybki wynik - w kilka minut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Łączność LIS/HIS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rozmiar urządzenia – mały, tzn. łatwy do przenoszenia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Automatyczne wyświetlanie rezultatu na ekranie urządzenia oraz możliwość jego wydrukowania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Interfejs w języku polskim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zapisywanie wyników badań w pamięci urządzenia – min. 8 000 tys.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454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Inne porty komunikacyjne dostępne w analizatorze: DC – IN/ RJ45/ USB B/ CAN-IN/ CAN-</w:t>
      </w:r>
    </w:p>
    <w:p>
      <w:pPr>
        <w:pStyle w:val="Normal"/>
        <w:numPr>
          <w:ilvl w:val="0"/>
          <w:numId w:val="0"/>
        </w:numPr>
        <w:ind w:hanging="0" w:lef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sz w:val="22"/>
          <w:szCs w:val="22"/>
        </w:rPr>
        <w:t>OUT/ RS232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2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PARAMETRY TECHNICZNE ANALIZATORA:</w:t>
      </w:r>
    </w:p>
    <w:p>
      <w:pPr>
        <w:pStyle w:val="Normal"/>
        <w:widowControl/>
        <w:numPr>
          <w:ilvl w:val="0"/>
          <w:numId w:val="0"/>
        </w:numPr>
        <w:bidi w:val="0"/>
        <w:ind w:hanging="0" w:left="454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źródło światła wzbudzającego: LED</w:t>
      </w:r>
    </w:p>
    <w:p>
      <w:pPr>
        <w:pStyle w:val="Normal"/>
        <w:widowControl/>
        <w:numPr>
          <w:ilvl w:val="0"/>
          <w:numId w:val="0"/>
        </w:numPr>
        <w:bidi w:val="0"/>
        <w:ind w:hanging="0" w:left="454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badana próbka: krew pełna, surowica, osocze, mocz i kał</w:t>
      </w:r>
    </w:p>
    <w:p>
      <w:pPr>
        <w:pStyle w:val="Normal"/>
        <w:widowControl/>
        <w:numPr>
          <w:ilvl w:val="0"/>
          <w:numId w:val="0"/>
        </w:numPr>
        <w:bidi w:val="0"/>
        <w:ind w:hanging="0" w:left="454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środowisko pracy: system operacyjny Android 5.1.1</w:t>
      </w:r>
    </w:p>
    <w:p>
      <w:pPr>
        <w:pStyle w:val="Normal"/>
        <w:widowControl/>
        <w:numPr>
          <w:ilvl w:val="0"/>
          <w:numId w:val="0"/>
        </w:numPr>
        <w:bidi w:val="0"/>
        <w:ind w:hanging="0" w:left="454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interfejs: port szeregowy, USB, sieć Internet</w:t>
      </w:r>
    </w:p>
    <w:p>
      <w:pPr>
        <w:pStyle w:val="Normal"/>
        <w:widowControl/>
        <w:numPr>
          <w:ilvl w:val="0"/>
          <w:numId w:val="0"/>
        </w:numPr>
        <w:bidi w:val="0"/>
        <w:ind w:hanging="0" w:left="454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wbudowane porty komunikacyjne: DC – IN/ RJ45/ USB B/ CAN-IN/ CAN-OUT/ RS232</w:t>
      </w:r>
    </w:p>
    <w:p>
      <w:pPr>
        <w:pStyle w:val="Normal"/>
        <w:widowControl/>
        <w:numPr>
          <w:ilvl w:val="0"/>
          <w:numId w:val="0"/>
        </w:numPr>
        <w:bidi w:val="0"/>
        <w:ind w:hanging="0" w:left="454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możliwość wpięcia myszki i klawiatury (dostępne dwa porty)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454" w:right="0"/>
        <w:contextualSpacing/>
        <w:jc w:val="both"/>
        <w:rPr>
          <w:rFonts w:ascii="Times New Roman" w:hAnsi="Times New Roman"/>
          <w:b w:val="false"/>
          <w:bCs w:val="false"/>
          <w:color w:val="000000"/>
          <w:sz w:val="22"/>
          <w:szCs w:val="22"/>
          <w:lang w:bidi="pl-PL"/>
        </w:rPr>
      </w:pPr>
      <w:r>
        <w:rPr>
          <w:b w:val="false"/>
          <w:bCs w:val="false"/>
          <w:color w:val="000000"/>
          <w:sz w:val="22"/>
          <w:szCs w:val="22"/>
          <w:lang w:bidi="pl-PL"/>
        </w:rPr>
        <w:t>- wbudowana drukarka: wewnętrzna drukarka termiczna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  <w:t>3) otoskop – 1 sztuka, o parametrach:</w:t>
      </w:r>
    </w:p>
    <w:p>
      <w:pPr>
        <w:pStyle w:val="Normal"/>
        <w:widowControl/>
        <w:suppressAutoHyphens w:val="true"/>
        <w:bidi w:val="0"/>
        <w:spacing w:lineRule="auto" w:line="240"/>
        <w:ind w:hanging="0" w:left="397" w:right="0"/>
        <w:jc w:val="left"/>
        <w:rPr/>
      </w:pPr>
      <w:r>
        <w:rPr>
          <w:sz w:val="22"/>
          <w:szCs w:val="22"/>
        </w:rPr>
        <w:t xml:space="preserve">- Bezobsługowe oświetlenie </w:t>
      </w:r>
    </w:p>
    <w:p>
      <w:pPr>
        <w:pStyle w:val="Normal"/>
        <w:widowControl/>
        <w:suppressAutoHyphens w:val="true"/>
        <w:bidi w:val="0"/>
        <w:spacing w:lineRule="auto" w:line="240"/>
        <w:ind w:hanging="0" w:left="39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Optymalne zarządzanie temperaturą diody LED </w:t>
      </w:r>
    </w:p>
    <w:p>
      <w:pPr>
        <w:pStyle w:val="Normal"/>
        <w:widowControl/>
        <w:suppressAutoHyphens w:val="true"/>
        <w:bidi w:val="0"/>
        <w:spacing w:lineRule="auto" w:line="240"/>
        <w:ind w:hanging="0" w:left="39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Technologia LED HQ gwarantująca najwierniejsze odzwierciedlenie rzeczywistych kolorów.</w:t>
      </w:r>
    </w:p>
    <w:p>
      <w:pPr>
        <w:pStyle w:val="Normal"/>
        <w:widowControl/>
        <w:suppressAutoHyphens w:val="true"/>
        <w:bidi w:val="0"/>
        <w:spacing w:lineRule="auto" w:line="240"/>
        <w:ind w:hanging="0" w:left="39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Homogeniczne, jasne oświetlenie całego obrazu z temperaturą koloru 4000 K.</w:t>
      </w:r>
    </w:p>
    <w:p>
      <w:pPr>
        <w:pStyle w:val="ListParagraph"/>
        <w:widowControl/>
        <w:suppressAutoHyphens w:val="true"/>
        <w:bidi w:val="0"/>
        <w:spacing w:lineRule="auto" w:line="240"/>
        <w:ind w:hanging="0" w:left="39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Możliwość podłączenia gruszki insuflacyjnej </w:t>
      </w:r>
    </w:p>
    <w:p>
      <w:pPr>
        <w:pStyle w:val="ListParagraph"/>
        <w:widowControl/>
        <w:suppressAutoHyphens w:val="true"/>
        <w:bidi w:val="0"/>
        <w:spacing w:lineRule="auto" w:line="240"/>
        <w:ind w:hanging="0" w:left="39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Rękojeść zasilana bateryjne </w:t>
      </w:r>
    </w:p>
    <w:p>
      <w:pPr>
        <w:pStyle w:val="ListParagraph"/>
        <w:widowControl/>
        <w:suppressAutoHyphens w:val="true"/>
        <w:bidi w:val="0"/>
        <w:spacing w:lineRule="auto" w:line="240"/>
        <w:ind w:hanging="0" w:left="39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Wzierniki jednorazowego użytku AllSpec (po 5 szt. w rozmiarach 2,5 i 4 mm)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  <w:t>4) model do badania piersi – 1 sztuka, o parametrach: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model posiadający trzy średniej wielkości oryginalnie uformowane piersi kobiece umieszczone na podstawce, w tym: 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Model 1 (lewa pierś): 2 zaokrąglone, ruchome guzy na głębokości 10 mm, średnicy ok. 20 mm,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przypuszczalnie łagodne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Model 2 (lewa pierś) 1.nieregularny guz na głębokości 15 mm, przylegający do ścianki klatki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piersiowej, średnicy około 15 mm, przypuszczalnie złośliwy. 2.nieregularny guz na głębokości 15 mm, przylegający do ścianki klatki piersiowej, średnicy około 20 mm, przypuszczalnie złośliwy.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3.kolumnowy, nieregularny guz na głębokości 10 mm, przylegający do ścianki klatki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piersiowej,średnicy około 30 mm, złośliwy. 4.trwale wciągnięta, przekrwiona brodawka sutkowa,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często w połączeniu ze złośliwym guzem. 5.skórka pomarańczy struktura skóry jak w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pomarańczowym łuszczeniu z zatkanym porem przez zastój chłonki (limfy) przy guzie złośliwym.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340" w:right="0"/>
        <w:contextualSpacing/>
        <w:jc w:val="both"/>
        <w:rPr>
          <w:rFonts w:ascii="Times New Roman" w:hAnsi="Times New Roman"/>
          <w:b w:val="false"/>
          <w:bCs w:val="false"/>
          <w:color w:val="000000"/>
          <w:sz w:val="22"/>
          <w:szCs w:val="22"/>
          <w:lang w:bidi="pl-PL"/>
        </w:rPr>
      </w:pPr>
      <w:r>
        <w:rPr>
          <w:b w:val="false"/>
          <w:bCs w:val="false"/>
          <w:color w:val="000000"/>
          <w:sz w:val="22"/>
          <w:szCs w:val="22"/>
          <w:lang w:bidi="pl-PL"/>
        </w:rPr>
        <w:t>Model 3 (prawa pierś) Zdrowa.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0" w:right="0"/>
        <w:contextualSpacing/>
        <w:jc w:val="both"/>
        <w:rPr>
          <w:rFonts w:ascii="Times New Roman" w:hAnsi="Times New Roman"/>
          <w:b w:val="false"/>
          <w:bCs w:val="false"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  <w:t>5) bieżnia do prób wysiłkowych – 1 sztuka, o parametrach: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bieżnia do badań wysiłkowych oraz rehabilitacji kardiologicznej;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wbudowany w bieżnię moduł EKG zapewniający bieżący monitoring pracy serca, system   kontroli nachylenia;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inklinometr pozwalający na precyzyjne zadawanie obciążenia poprzez zmianę pochylenia bieżni;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bieżnia winna współpracować z systemem do badań wysiłkowych CardioTEST oraz z systemem do rehabilitacji kardiologicznej AsTER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maksymalna dopuszczalna waga pacjenta: min.180 kg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wyłącznik bezpieczeństwa: 2 szt. na poręczach i opcjonalnie jeden zewnętrzny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sterowanie za pomocą komputera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dodatkowe funkcje: funkcja ZERO START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wbudowany moduł EKG: 12 standardowych odprowadzeń (tryb: wysiłkowy)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wbudowany moduł EKG: 2 odprowadzenia (tryb: rehabilitacja)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wbudowany moduł EKG: tak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wbudowany moduł EKG: zakres częstotliwości 0,05-150 Hz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wbudowany moduł EKG: zakres pomiaru HR 25-300 bpm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detekcja odpięcia elektrody INOP: tak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Standardowe wyposażenie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-bieżnia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elektrody jednorazowe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instrukcja użytkowania w języku polskim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kabel do transmisji danych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kabel pacjenta KEKG 51 (system wysiłkowy)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kabel pacjenta KEKG 52 (rehabilitacja kardiologiczna)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kabel sieciowy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karta gwarancyjna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klucz odblokowujący (duży Jack) bieżnię po naciśnięciu STOP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olej silikonowy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pasta abrazyjna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9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wkładka bezpiecznikowa topikowa (2 szt.)</w:t>
      </w:r>
    </w:p>
    <w:p>
      <w:pPr>
        <w:pStyle w:val="Normal"/>
        <w:widowControl/>
        <w:bidi w:val="0"/>
        <w:ind w:hanging="0" w:left="283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zestaw montażowy</w:t>
      </w:r>
    </w:p>
    <w:p>
      <w:pPr>
        <w:pStyle w:val="Normal"/>
        <w:widowControl/>
        <w:bidi w:val="0"/>
        <w:ind w:hanging="0" w:left="283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zewnętrzny wyłącznik bezpieczeństwa</w:t>
      </w:r>
    </w:p>
    <w:p>
      <w:pPr>
        <w:pStyle w:val="Normal"/>
        <w:widowControl/>
        <w:bidi w:val="0"/>
        <w:ind w:hanging="0" w:left="283" w:right="0"/>
        <w:rPr>
          <w:rFonts w:ascii="Times New Roman" w:hAnsi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Wyposażenie dodatkowe wymagane:</w:t>
      </w:r>
    </w:p>
    <w:p>
      <w:pPr>
        <w:pStyle w:val="Normal"/>
        <w:widowControl/>
        <w:bidi w:val="0"/>
        <w:ind w:hanging="0" w:left="283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oprogramowanie AsTER oraz CardioTEST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283" w:right="0"/>
        <w:contextualSpacing/>
        <w:jc w:val="both"/>
        <w:rPr>
          <w:rFonts w:ascii="Times New Roman" w:hAnsi="Times New Roman"/>
          <w:b w:val="false"/>
          <w:bCs w:val="false"/>
          <w:color w:val="000000"/>
          <w:sz w:val="22"/>
          <w:szCs w:val="22"/>
          <w:lang w:bidi="pl-PL"/>
        </w:rPr>
      </w:pPr>
      <w:r>
        <w:rPr>
          <w:b w:val="false"/>
          <w:bCs w:val="false"/>
          <w:color w:val="000000"/>
          <w:sz w:val="22"/>
          <w:szCs w:val="22"/>
          <w:lang w:bidi="pl-PL"/>
        </w:rPr>
        <w:t>- poręcz pediatryczna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0" w:right="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0" w:right="0"/>
        <w:contextualSpacing/>
        <w:jc w:val="both"/>
        <w:rPr/>
      </w:pPr>
      <w:r>
        <w:rPr>
          <w:b/>
          <w:bCs/>
          <w:color w:val="000000"/>
          <w:sz w:val="24"/>
          <w:szCs w:val="24"/>
          <w:lang w:bidi="pl-PL"/>
        </w:rPr>
        <w:t>6) cykloergometr – 1 sztuka, o parametrach: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- współpraca z system do badań wysiłkowych CardioTEST oraz z systemem do rehabilitacji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227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kardiologicznj AsTER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- sterowanie z wykorzystaniem komputera poprzez port RS-232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- hamowanie: sterowany procesorem hamulec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- obciążenie niezależne od liczby obrotów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- wbudowany moduł EKG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- 12 standardowych odprowadzeń w trybie diagnostycznym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>- 2 odprowadzenia w trybie treningowym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- zakres pomiaru HR 15-240 bpm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- maksymalna waga pacjenta: nie mniej niż 180 kg</w:t>
      </w:r>
    </w:p>
    <w:p>
      <w:pPr>
        <w:pStyle w:val="Normal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>- zasilanie: 230 V, 50 Hz, 60VA</w:t>
      </w:r>
    </w:p>
    <w:p>
      <w:pPr>
        <w:pStyle w:val="Normal"/>
        <w:rPr>
          <w:rFonts w:ascii="Times New Roman" w:hAnsi="Times New Roman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Wyposażenie: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cykloergometr 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kabel pacjenta do systemu wysiłkowego KEKG-51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kabel pacjenta do systemu rehabilitacji kardiologicznej KEKG-52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- 50 x elektrody jednorazowe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pasta abrazyjna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zasilacz sieciowy</w:t>
      </w:r>
    </w:p>
    <w:p>
      <w:pPr>
        <w:pStyle w:val="Normal"/>
        <w:widowControl/>
        <w:bidi w:val="0"/>
        <w:ind w:hanging="0" w:left="340" w:right="0"/>
        <w:rPr>
          <w:rFonts w:ascii="Times New Roman" w:hAnsi="Times New Roman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- kabel sieciowy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340" w:right="0"/>
        <w:contextualSpacing/>
        <w:jc w:val="both"/>
        <w:rPr>
          <w:rFonts w:ascii="Times New Roman" w:hAnsi="Times New Roman"/>
          <w:b w:val="false"/>
          <w:bCs w:val="false"/>
          <w:color w:val="000000"/>
          <w:sz w:val="22"/>
          <w:szCs w:val="22"/>
          <w:lang w:bidi="pl-PL"/>
        </w:rPr>
      </w:pPr>
      <w:r>
        <w:rPr>
          <w:b w:val="false"/>
          <w:bCs w:val="false"/>
          <w:color w:val="000000"/>
          <w:sz w:val="22"/>
          <w:szCs w:val="22"/>
          <w:lang w:bidi="pl-PL"/>
        </w:rPr>
        <w:t>- kabel do transmisji danych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0" w:right="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  <w:t>7) system wysiłkowy do wykonywania elektrokardiograficznych badań wysiłkowych oraz badań spoczynkowych z możliwością generowania raportów, archiwizacją badań EKG, przeglądaniem opisywaniem – 1 sztuka, posiada minimum: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system do elektrokardiograficznych badań wysiłkowych składający się z oprogramowania CardioTEST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specyfikację techniczną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pływanie linii izoelektrycznej oraz zakłócenia pochodzenia mięśniowego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nieprzerwana rejestracja i prezentacja sygnału EKG z 12 odprowadzeń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prezentacja uśrednionych zespołów P-QRS-T z 12 odprowadzeń wraz z wynikami pomiarów poziomu i  nachylenia odcinka ST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automatyczny pomiar HR, poziomu ST i nachylenia odcinka ST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automatyczne sterowanie obciążeniem cykloergometru i bieżni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archiwizacja i wydruk raportu przeprowadzonego badania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automatyczne wyznaczenie punktów pomiarowych z możliwością ręcznej korekty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automatyczna analiza arytmii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prezentacja parametrów dotyczących: fazy badania, bieżącego obciążenia, czasu etapu i całkowitego czasu wysiłku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Monitorowane parametry: częstości rytmu, MET, podwójny produkt, ciśnienie krwi, poziom, nachylenie odcinka ST oraz obciążenie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wydruk EKG w czasie rzeczywistym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podgląd trendów wszystkich mierzonych parametrów w trakcie badania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system alarmów dla monitorowanych parametrów i arytmii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archiwizacja i wydruk raportu umożliwiającego wiarygodną ocenę badania (raport zawiera zapis EKG, uśrednione zespoły P-QRS-T oraz tabelę z wynikami pomiarów)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Standardowe protokoły badań oraz możliwość definiowania własnych protokołów również w trybie RAMP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podgląd raportu na ekranie przed wydrukiem raportu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funkcja reanalizy wykonanego badania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- prezentacja trendów 3D ilustrujących zmiany odcinka ST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- wyposażone w o</w:t>
      </w:r>
      <w:r>
        <w:rPr>
          <w:b w:val="false"/>
          <w:bCs w:val="false"/>
          <w:color w:val="000000"/>
          <w:sz w:val="22"/>
          <w:szCs w:val="22"/>
          <w:lang w:bidi="pl-PL"/>
        </w:rPr>
        <w:t>programowanie CardioTEST z kluczem zabezpieczającym USB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  <w:t>8) chłodziarka farmaceutyczna z monitoringiem temperatury – 2 sztuki, o parametrach: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- posiada drzwi przeszklone;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wyposażona w płaski kontroler z ekranem dotykowym, kontroler będzie wyświetlał, sygnalizował i rejestrował minimalne i maksymalne temperatury dla obu sond temperatury;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posiada cyfrowy zamek,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 xml:space="preserve">- posiada sondę temperatury o długości 1 metra,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zakres temperatury od +2°C do +8°C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340" w:right="0"/>
        <w:jc w:val="left"/>
        <w:rPr>
          <w:rFonts w:ascii="Times New Roman" w:hAnsi="Times New Roman"/>
          <w:b w:val="false"/>
          <w:bCs w:val="false"/>
          <w:color w:val="000000"/>
          <w:sz w:val="22"/>
          <w:szCs w:val="22"/>
          <w:lang w:bidi="pl-PL"/>
        </w:rPr>
      </w:pPr>
      <w:r>
        <w:rPr>
          <w:b w:val="false"/>
          <w:bCs w:val="false"/>
          <w:color w:val="000000"/>
          <w:sz w:val="22"/>
          <w:szCs w:val="22"/>
          <w:lang w:bidi="pl-PL"/>
        </w:rPr>
        <w:t>- pojemność 66 litrów.</w:t>
      </w:r>
    </w:p>
    <w:p>
      <w:pPr>
        <w:pStyle w:val="Normal"/>
        <w:widowControl/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0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  <w:t>9) tablica Snellena – 2 sztuki, o parametrach: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283" w:right="0"/>
        <w:jc w:val="left"/>
        <w:rPr>
          <w:rFonts w:ascii="Times New Roman" w:hAnsi="Times New Roman"/>
          <w:b w:val="false"/>
          <w:bCs w:val="false"/>
          <w:sz w:val="22"/>
          <w:szCs w:val="22"/>
        </w:rPr>
      </w:pPr>
      <w:r>
        <w:rPr>
          <w:b w:val="false"/>
          <w:bCs w:val="false"/>
          <w:sz w:val="22"/>
          <w:szCs w:val="22"/>
        </w:rPr>
        <w:t>- tablica posiada litery, lub cyfry, lub obrazki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283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zakres badania: tablica dostosowana do badania pacjenta z odległości 6 metrów od tablicy.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283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tablica będzie się składać z siedmiu rzędów obrazków,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283" w:right="0"/>
        <w:jc w:val="left"/>
        <w:rPr>
          <w:rFonts w:ascii="Times New Roman" w:hAnsi="Times New Roman"/>
          <w:sz w:val="22"/>
          <w:szCs w:val="22"/>
        </w:rPr>
      </w:pPr>
      <w:r>
        <w:rPr>
          <w:sz w:val="22"/>
          <w:szCs w:val="22"/>
        </w:rPr>
        <w:t>- tablica wykonana z PCV.</w:t>
      </w:r>
    </w:p>
    <w:p>
      <w:pPr>
        <w:pStyle w:val="Normal"/>
        <w:rPr/>
      </w:pPr>
      <w:r>
        <w:rPr/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469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  <w:t>10) termometr bezdotykowy – 2 sztuki, o parametrach: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automatyczny pomiar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automatyczne wykrywanie odległości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kontrolka informująca o prawidłowym wykonaniu badania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wyświetlacz LCD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odliczanie czasu pomiaru na wyświetlaczu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technologia Silent Glow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pamięć minimum 30 pomiarów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data i godzina na wyświetlaczu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bezrtęciowy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>- pomiar temperatury w °C a °F</w:t>
      </w:r>
    </w:p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lineRule="auto" w:line="240" w:before="0" w:after="0"/>
        <w:ind w:hanging="0" w:left="283" w:righ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- testowany klinicznie </w:t>
      </w:r>
    </w:p>
    <w:p>
      <w:pPr>
        <w:pStyle w:val="Normal"/>
        <w:widowControl/>
        <w:tabs>
          <w:tab w:val="clear" w:pos="708"/>
          <w:tab w:val="left" w:pos="1469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</w:pPr>
      <w:r>
        <w:rPr>
          <w:b/>
          <w:bCs/>
          <w:color w:val="000000"/>
          <w:sz w:val="24"/>
          <w:szCs w:val="24"/>
          <w:lang w:bidi="pl-PL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469" w:leader="none"/>
        </w:tabs>
        <w:suppressAutoHyphens w:val="true"/>
        <w:bidi w:val="0"/>
        <w:spacing w:lineRule="auto" w:line="276" w:before="0" w:after="0"/>
        <w:ind w:hanging="0" w:left="57" w:right="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  <w:lang w:bidi="pl-PL"/>
        </w:rPr>
        <w:t>11) elektroniczny stetoskop – 2 sztuki, o parametrach:</w:t>
      </w:r>
    </w:p>
    <w:p>
      <w:pPr>
        <w:pStyle w:val="Normal"/>
        <w:widowControl/>
        <w:numPr>
          <w:ilvl w:val="0"/>
          <w:numId w:val="0"/>
        </w:numPr>
        <w:bidi w:val="0"/>
        <w:ind w:hanging="0" w:left="283" w:right="0"/>
        <w:rPr>
          <w:sz w:val="22"/>
          <w:szCs w:val="22"/>
        </w:rPr>
      </w:pPr>
      <w:r>
        <w:rPr>
          <w:sz w:val="22"/>
          <w:szCs w:val="22"/>
        </w:rPr>
        <w:t>- służący do osłuchiwania pracy serca oraz płuc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283" w:right="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 xml:space="preserve">- rodzaj stetoskopu -elektroniczny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283" w:right="0"/>
        <w:rPr>
          <w:sz w:val="20"/>
          <w:szCs w:val="20"/>
        </w:rPr>
      </w:pPr>
      <w:r>
        <w:rPr>
          <w:rFonts w:eastAsia="Times New Roman" w:cs="Times New Roman"/>
          <w:sz w:val="22"/>
          <w:szCs w:val="22"/>
          <w:lang w:eastAsia="pl-PL"/>
        </w:rPr>
        <w:t xml:space="preserve">- wykończenie głowicy stetoskopu - stal nierdzewna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283" w:right="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 xml:space="preserve">- technologia głowicy - dwustronna 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283" w:right="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eastAsia="pl-PL"/>
        </w:rPr>
        <w:t xml:space="preserve">- przewód (lira) - dwukanałowy 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469" w:leader="none"/>
        </w:tabs>
        <w:suppressAutoHyphens w:val="true"/>
        <w:bidi w:val="0"/>
        <w:spacing w:lineRule="auto" w:line="276" w:before="0" w:after="0"/>
        <w:ind w:hanging="0" w:left="283" w:right="0"/>
        <w:contextualSpacing/>
        <w:jc w:val="both"/>
        <w:rPr>
          <w:rFonts w:ascii="Times New Roman" w:hAnsi="Times New Roman"/>
          <w:b w:val="false"/>
          <w:bCs w:val="false"/>
          <w:color w:val="000000"/>
          <w:sz w:val="20"/>
          <w:szCs w:val="20"/>
          <w:lang w:bidi="pl-PL"/>
        </w:rPr>
      </w:pPr>
      <w:r>
        <w:rPr>
          <w:rFonts w:eastAsia="Times New Roman" w:cs="Times New Roman"/>
          <w:b w:val="false"/>
          <w:bCs w:val="false"/>
          <w:color w:val="000000"/>
          <w:sz w:val="22"/>
          <w:szCs w:val="22"/>
          <w:lang w:eastAsia="pl-PL" w:bidi="pl-PL"/>
        </w:rPr>
        <w:t>- oliwki: miękkie, samouszczelniające się</w:t>
      </w:r>
      <w:bookmarkStart w:id="1" w:name="_GoBack_kopia_1"/>
      <w:bookmarkEnd w:id="1"/>
    </w:p>
    <w:sectPr>
      <w:type w:val="nextPage"/>
      <w:pgSz w:w="11906" w:h="16838"/>
      <w:pgMar w:left="1396" w:right="965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false"/>
        <w:bCs w:val="fals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false"/>
        <w:bCs w:val="fals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false"/>
        <w:bCs w:val="false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false"/>
        <w:bCs w:val="false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false"/>
        <w:bCs w:val="false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false"/>
        <w:bCs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13a3c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907571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907571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WW8Num36z0">
    <w:name w:val="WW8Num36z0"/>
    <w:qFormat/>
    <w:rPr>
      <w:b w:val="false"/>
      <w:bCs w:val="false"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9075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90757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user">
    <w:name w:val="Zawartość tabeli (user)"/>
    <w:basedOn w:val="Normal"/>
    <w:qFormat/>
    <w:pPr>
      <w:widowControl w:val="false"/>
      <w:suppressLineNumbers/>
    </w:pPr>
    <w:rPr/>
  </w:style>
  <w:style w:type="paragraph" w:styleId="Nagwektabeliuser">
    <w:name w:val="Nagłówek tabeli (user)"/>
    <w:basedOn w:val="Zawartotabeliuser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/>
      <w:contextualSpacing/>
    </w:pPr>
    <w:rPr/>
  </w:style>
  <w:style w:type="numbering" w:styleId="Bezlistyuser" w:default="1">
    <w:name w:val="Bez listy (user)"/>
    <w:uiPriority w:val="99"/>
    <w:semiHidden/>
    <w:unhideWhenUsed/>
    <w:qFormat/>
  </w:style>
  <w:style w:type="numbering" w:styleId="WW8Num36">
    <w:name w:val="WW8Num3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BDEED8E0.dotm</Template>
  <TotalTime>129</TotalTime>
  <Application>LibreOffice/25.2.7.2$Windows_X86_64 LibreOffice_project/5cbfd1ab6520636bb5f7b99185aa69bd7456825d</Application>
  <AppVersion>15.0000</AppVersion>
  <Pages>6</Pages>
  <Words>1982</Words>
  <Characters>12465</Characters>
  <CharactersWithSpaces>14218</CharactersWithSpaces>
  <Paragraphs>329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2026-01-29T12:29:00Z</dcterms:created>
  <dc:creator/>
  <dc:description/>
  <dc:language>pl-PL</dc:language>
  <cp:lastModifiedBy/>
  <dcterms:modified xsi:type="dcterms:W3CDTF">2026-01-31T16:49:35Z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